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附件</w:t>
      </w:r>
      <w:r>
        <w:rPr>
          <w:rFonts w:hint="eastAsia" w:ascii="黑体" w:hAnsi="黑体" w:eastAsia="黑体" w:cs="黑体"/>
          <w:b w:val="0"/>
          <w:bCs/>
          <w:sz w:val="24"/>
          <w:szCs w:val="24"/>
          <w:lang w:val="en-US" w:eastAsia="zh-CN"/>
        </w:rPr>
        <w:t>5</w:t>
      </w:r>
    </w:p>
    <w:p>
      <w:pPr>
        <w:rPr>
          <w:lang w:eastAsia="zh-CN"/>
        </w:rPr>
      </w:pPr>
    </w:p>
    <w:p>
      <w:pPr>
        <w:rPr>
          <w:lang w:eastAsia="zh-CN"/>
        </w:rPr>
      </w:pPr>
    </w:p>
    <w:p>
      <w:pPr>
        <w:pStyle w:val="2"/>
        <w:spacing w:before="0" w:after="0" w:line="240" w:lineRule="auto"/>
        <w:jc w:val="center"/>
        <w:rPr>
          <w:rFonts w:hint="eastAsia" w:ascii="仿宋" w:hAnsi="仿宋" w:eastAsia="仿宋" w:cs="仿宋"/>
          <w:b/>
          <w:bCs w:val="0"/>
          <w:sz w:val="40"/>
          <w:szCs w:val="40"/>
          <w:lang w:eastAsia="zh-CN"/>
        </w:rPr>
      </w:pPr>
      <w:r>
        <w:rPr>
          <w:rFonts w:hint="eastAsia" w:ascii="仿宋" w:hAnsi="仿宋" w:eastAsia="仿宋" w:cs="仿宋"/>
          <w:b/>
          <w:bCs w:val="0"/>
          <w:sz w:val="40"/>
          <w:szCs w:val="40"/>
          <w:lang w:val="en-US" w:eastAsia="zh-CN"/>
        </w:rPr>
        <w:t>2024年教师教学创新大赛暨课程思政教学比赛</w:t>
      </w:r>
      <w:r>
        <w:rPr>
          <w:rFonts w:hint="eastAsia" w:ascii="仿宋" w:hAnsi="仿宋" w:eastAsia="仿宋" w:cs="仿宋"/>
          <w:b/>
          <w:bCs w:val="0"/>
          <w:sz w:val="40"/>
          <w:szCs w:val="40"/>
          <w:lang w:eastAsia="zh-CN"/>
        </w:rPr>
        <w:t>评分标准</w:t>
      </w:r>
      <w:bookmarkStart w:id="0" w:name="_GoBack"/>
      <w:bookmarkEnd w:id="0"/>
    </w:p>
    <w:p>
      <w:pPr>
        <w:rPr>
          <w:rFonts w:hint="eastAsia"/>
          <w:lang w:eastAsia="zh-CN"/>
        </w:rPr>
      </w:pPr>
    </w:p>
    <w:p>
      <w:pPr>
        <w:pStyle w:val="2"/>
        <w:spacing w:before="0" w:after="0" w:line="240" w:lineRule="auto"/>
        <w:rPr>
          <w:rFonts w:ascii="黑体" w:hAnsi="黑体" w:eastAsia="黑体" w:cs="黑体"/>
          <w:b w:val="0"/>
          <w:bCs w:val="0"/>
          <w:sz w:val="29"/>
          <w:szCs w:val="29"/>
          <w:lang w:eastAsia="zh-CN"/>
        </w:rPr>
      </w:pPr>
      <w:r>
        <w:rPr>
          <w:rFonts w:ascii="黑体" w:hAnsi="黑体" w:eastAsia="黑体" w:cs="黑体"/>
          <w:b w:val="0"/>
          <w:bCs w:val="0"/>
          <w:sz w:val="29"/>
          <w:szCs w:val="29"/>
          <w:lang w:eastAsia="zh-CN"/>
        </w:rPr>
        <w:t>一、课堂教学实录视频(</w:t>
      </w:r>
      <w:r>
        <w:rPr>
          <w:rFonts w:hint="eastAsia" w:ascii="黑体" w:hAnsi="黑体" w:eastAsia="黑体" w:cs="黑体"/>
          <w:b w:val="0"/>
          <w:bCs w:val="0"/>
          <w:sz w:val="29"/>
          <w:szCs w:val="29"/>
          <w:lang w:val="en-US" w:eastAsia="zh-CN"/>
        </w:rPr>
        <w:t>30</w:t>
      </w:r>
      <w:r>
        <w:rPr>
          <w:rFonts w:ascii="黑体" w:hAnsi="黑体" w:eastAsia="黑体" w:cs="黑体"/>
          <w:b w:val="0"/>
          <w:bCs w:val="0"/>
          <w:sz w:val="29"/>
          <w:szCs w:val="29"/>
          <w:lang w:eastAsia="zh-CN"/>
        </w:rPr>
        <w:t>分)</w:t>
      </w:r>
    </w:p>
    <w:tbl>
      <w:tblPr>
        <w:tblStyle w:val="9"/>
        <w:tblW w:w="5255" w:type="pct"/>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0"/>
        <w:gridCol w:w="7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50" w:type="dxa"/>
            <w:tcMar>
              <w:top w:w="0" w:type="dxa"/>
              <w:left w:w="113" w:type="dxa"/>
              <w:bottom w:w="0" w:type="dxa"/>
              <w:right w:w="113" w:type="dxa"/>
            </w:tcMar>
            <w:vAlign w:val="center"/>
          </w:tcPr>
          <w:p>
            <w:pPr>
              <w:pStyle w:val="8"/>
              <w:kinsoku/>
              <w:jc w:val="center"/>
              <w:rPr>
                <w:rFonts w:ascii="仿宋_GB2312" w:hAnsi="仿宋_GB2312" w:eastAsia="仿宋_GB2312" w:cs="仿宋_GB2312"/>
                <w:b/>
                <w:bCs/>
                <w:spacing w:val="-3"/>
                <w:position w:val="14"/>
                <w:sz w:val="24"/>
                <w:szCs w:val="24"/>
              </w:rPr>
            </w:pPr>
            <w:r>
              <w:rPr>
                <w:rFonts w:hint="eastAsia" w:ascii="仿宋_GB2312" w:hAnsi="仿宋_GB2312" w:eastAsia="仿宋_GB2312" w:cs="仿宋_GB2312"/>
                <w:b/>
                <w:bCs/>
                <w:spacing w:val="-3"/>
                <w:position w:val="14"/>
                <w:sz w:val="24"/>
                <w:szCs w:val="24"/>
              </w:rPr>
              <w:t>评价维度</w:t>
            </w:r>
          </w:p>
        </w:tc>
        <w:tc>
          <w:tcPr>
            <w:tcW w:w="8416" w:type="dxa"/>
            <w:tcMar>
              <w:top w:w="0" w:type="dxa"/>
              <w:left w:w="113" w:type="dxa"/>
              <w:bottom w:w="0" w:type="dxa"/>
              <w:right w:w="113" w:type="dxa"/>
            </w:tcMar>
            <w:vAlign w:val="center"/>
          </w:tcPr>
          <w:p>
            <w:pPr>
              <w:pStyle w:val="8"/>
              <w:kinsoku/>
              <w:jc w:val="center"/>
              <w:rPr>
                <w:rFonts w:ascii="仿宋_GB2312" w:hAnsi="仿宋_GB2312" w:eastAsia="仿宋_GB2312" w:cs="仿宋_GB2312"/>
                <w:b/>
                <w:bCs/>
                <w:spacing w:val="-3"/>
                <w:position w:val="14"/>
                <w:sz w:val="24"/>
                <w:szCs w:val="24"/>
              </w:rPr>
            </w:pPr>
            <w:r>
              <w:rPr>
                <w:rFonts w:hint="eastAsia" w:ascii="仿宋_GB2312" w:hAnsi="仿宋_GB2312" w:eastAsia="仿宋_GB2312" w:cs="仿宋_GB2312"/>
                <w:b/>
                <w:bCs/>
                <w:spacing w:val="-3"/>
                <w:position w:val="14"/>
                <w:sz w:val="24"/>
                <w:szCs w:val="24"/>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rPr>
            </w:pPr>
            <w:r>
              <w:rPr>
                <w:rFonts w:hint="eastAsia" w:ascii="仿宋_GB2312" w:hAnsi="仿宋_GB2312" w:eastAsia="仿宋_GB2312" w:cs="仿宋_GB2312"/>
                <w:b/>
                <w:bCs/>
                <w:spacing w:val="-3"/>
                <w:position w:val="14"/>
                <w:sz w:val="24"/>
                <w:szCs w:val="24"/>
              </w:rPr>
              <w:t>教学理念</w:t>
            </w: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教学理念体现“学生中心”教育理念，体现立德树人思想，符合学科特色与课程要求；以“四新”建设为引领，推动教育教学改革、提高人才培养能力。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restart"/>
            <w:tcBorders>
              <w:bottom w:val="nil"/>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rPr>
            </w:pPr>
            <w:r>
              <w:rPr>
                <w:rFonts w:hint="eastAsia" w:ascii="仿宋_GB2312" w:hAnsi="仿宋_GB2312" w:eastAsia="仿宋_GB2312" w:cs="仿宋_GB2312"/>
                <w:b/>
                <w:bCs/>
                <w:spacing w:val="-3"/>
                <w:position w:val="14"/>
                <w:sz w:val="24"/>
                <w:szCs w:val="24"/>
              </w:rPr>
              <w:t>教学内容</w:t>
            </w: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left"/>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教学内容有深度、广度，体现高阶性、创新性与挑战度；反映学科前沿，渗透专业思想，使用质量高的教学资源；充分体现“四新”建设的理念和成果。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continue"/>
            <w:tcBorders>
              <w:top w:val="nil"/>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lang w:eastAsia="zh-CN"/>
              </w:rPr>
            </w:pP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left"/>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教学内容满足行业与社会需求，教学重、难点处理恰当，关注学生已有知识和经验，教学内容具有科学性。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restart"/>
            <w:tcBorders>
              <w:bottom w:val="nil"/>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rPr>
            </w:pPr>
            <w:r>
              <w:rPr>
                <w:rFonts w:hint="eastAsia" w:ascii="仿宋_GB2312" w:hAnsi="仿宋_GB2312" w:eastAsia="仿宋_GB2312" w:cs="仿宋_GB2312"/>
                <w:b/>
                <w:bCs/>
                <w:spacing w:val="-3"/>
                <w:position w:val="14"/>
                <w:sz w:val="24"/>
                <w:szCs w:val="24"/>
              </w:rPr>
              <w:t>课程思政</w:t>
            </w: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left"/>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落实立德树人根本任务，将价值塑造、知识传授和能力培养融为一体，显性教育与隐性教育相统一，实现“三全育人”。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continue"/>
            <w:tcBorders>
              <w:top w:val="nil"/>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lang w:eastAsia="zh-CN"/>
              </w:rPr>
            </w:pP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left"/>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结合所授课程特点、思维方法和价值理念，深挖课程思政元素，有机融入课程教学。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restart"/>
            <w:tcBorders>
              <w:bottom w:val="nil"/>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rPr>
            </w:pPr>
            <w:r>
              <w:rPr>
                <w:rFonts w:hint="eastAsia" w:ascii="仿宋_GB2312" w:hAnsi="仿宋_GB2312" w:eastAsia="仿宋_GB2312" w:cs="仿宋_GB2312"/>
                <w:b/>
                <w:bCs/>
                <w:spacing w:val="-3"/>
                <w:position w:val="14"/>
                <w:sz w:val="24"/>
                <w:szCs w:val="24"/>
              </w:rPr>
              <w:t>教学过程</w:t>
            </w: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注重以学生为中心创新教学，体现教师主导、学生主体。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continue"/>
            <w:tcBorders>
              <w:top w:val="nil"/>
              <w:bottom w:val="nil"/>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lang w:eastAsia="zh-CN"/>
              </w:rPr>
            </w:pP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教学目标科学、准确，符合大纲要求、学科特点与学生实际，体现对知识、能力与思维等方面的要求。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continue"/>
            <w:tcBorders>
              <w:top w:val="nil"/>
              <w:bottom w:val="nil"/>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lang w:eastAsia="zh-CN"/>
              </w:rPr>
            </w:pP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教学组织有序，教学过程安排合理；创新教学方法与策略，注重教学互动，启发学生思考及问题解决。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continue"/>
            <w:tcBorders>
              <w:top w:val="nil"/>
              <w:bottom w:val="nil"/>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lang w:eastAsia="zh-CN"/>
              </w:rPr>
            </w:pP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both"/>
              <w:textAlignment w:val="baseline"/>
              <w:rPr>
                <w:rFonts w:hint="default" w:ascii="仿宋_GB2312" w:hAnsi="仿宋_GB2312" w:eastAsia="仿宋_GB2312" w:cs="仿宋_GB2312"/>
                <w:color w:val="auto"/>
                <w:spacing w:val="0"/>
                <w:position w:val="0"/>
                <w:sz w:val="24"/>
                <w:szCs w:val="24"/>
                <w:lang w:val="en-US" w:eastAsia="zh-CN"/>
              </w:rPr>
            </w:pPr>
            <w:r>
              <w:rPr>
                <w:rFonts w:hint="eastAsia" w:ascii="仿宋_GB2312" w:hAnsi="仿宋_GB2312" w:eastAsia="仿宋_GB2312" w:cs="仿宋_GB2312"/>
                <w:color w:val="auto"/>
                <w:spacing w:val="0"/>
                <w:position w:val="0"/>
                <w:sz w:val="24"/>
                <w:szCs w:val="24"/>
                <w:lang w:eastAsia="zh-CN"/>
              </w:rPr>
              <w:t>以信息技术创设教学环境，支持教学创新</w:t>
            </w:r>
            <w:r>
              <w:rPr>
                <w:rFonts w:hint="eastAsia" w:ascii="仿宋_GB2312" w:hAnsi="仿宋_GB2312" w:eastAsia="仿宋_GB2312" w:cs="仿宋_GB2312"/>
                <w:color w:val="auto"/>
                <w:spacing w:val="0"/>
                <w:position w:val="0"/>
                <w:sz w:val="24"/>
                <w:szCs w:val="24"/>
                <w:highlight w:val="none"/>
                <w:lang w:eastAsia="zh-CN"/>
              </w:rPr>
              <w:t>，</w:t>
            </w:r>
            <w:r>
              <w:rPr>
                <w:rFonts w:hint="eastAsia" w:ascii="仿宋_GB2312" w:hAnsi="仿宋_GB2312" w:eastAsia="仿宋_GB2312" w:cs="仿宋_GB2312"/>
                <w:color w:val="auto"/>
                <w:spacing w:val="0"/>
                <w:position w:val="0"/>
                <w:sz w:val="24"/>
                <w:szCs w:val="24"/>
                <w:highlight w:val="none"/>
                <w:lang w:val="en-US" w:eastAsia="zh-CN"/>
              </w:rPr>
              <w:t>必须体现创新点，雨课堂、AI等。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continue"/>
            <w:tcBorders>
              <w:top w:val="nil"/>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lang w:eastAsia="zh-CN"/>
              </w:rPr>
            </w:pP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创新考核评价的内容和方式，注重形成性评价与生成性问题的解决和应用。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restart"/>
            <w:tcBorders>
              <w:bottom w:val="single" w:color="000000" w:sz="4" w:space="0"/>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b/>
                <w:bCs/>
                <w:spacing w:val="-3"/>
                <w:position w:val="14"/>
                <w:sz w:val="24"/>
                <w:szCs w:val="24"/>
              </w:rPr>
            </w:pPr>
            <w:r>
              <w:rPr>
                <w:rFonts w:hint="eastAsia" w:ascii="仿宋_GB2312" w:hAnsi="仿宋_GB2312" w:eastAsia="仿宋_GB2312" w:cs="仿宋_GB2312"/>
                <w:b/>
                <w:bCs/>
                <w:spacing w:val="-3"/>
                <w:position w:val="14"/>
                <w:sz w:val="24"/>
                <w:szCs w:val="24"/>
              </w:rPr>
              <w:t>教学效果</w:t>
            </w: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课堂讲授富有吸引力，课堂气氛融洽，学生思维活跃，深度参与课堂。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continue"/>
            <w:tcBorders>
              <w:top w:val="single" w:color="000000" w:sz="4" w:space="0"/>
              <w:bottom w:val="single" w:color="000000" w:sz="4" w:space="0"/>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spacing w:val="-3"/>
                <w:position w:val="14"/>
                <w:sz w:val="24"/>
                <w:szCs w:val="24"/>
                <w:lang w:eastAsia="zh-CN"/>
              </w:rPr>
            </w:pP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学生知识、能力与思维得到发展，实现教学目标的达成。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vMerge w:val="continue"/>
            <w:tcBorders>
              <w:top w:val="single" w:color="000000" w:sz="4" w:space="0"/>
              <w:bottom w:val="single" w:color="000000" w:sz="4" w:space="0"/>
            </w:tcBorders>
            <w:tcMar>
              <w:top w:w="0" w:type="dxa"/>
              <w:left w:w="113" w:type="dxa"/>
              <w:bottom w:w="0" w:type="dxa"/>
              <w:right w:w="113" w:type="dxa"/>
            </w:tcMar>
            <w:vAlign w:val="center"/>
          </w:tcPr>
          <w:p>
            <w:pPr>
              <w:pStyle w:val="8"/>
              <w:kinsoku/>
              <w:spacing w:line="300" w:lineRule="atLeast"/>
              <w:jc w:val="center"/>
              <w:rPr>
                <w:rFonts w:ascii="仿宋_GB2312" w:hAnsi="仿宋_GB2312" w:eastAsia="仿宋_GB2312" w:cs="仿宋_GB2312"/>
                <w:spacing w:val="-3"/>
                <w:position w:val="14"/>
                <w:sz w:val="24"/>
                <w:szCs w:val="24"/>
                <w:lang w:eastAsia="zh-CN"/>
              </w:rPr>
            </w:pP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形成适合学科特色、学生特点的教学模式，具有较大借鉴和推广价值。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350" w:type="dxa"/>
            <w:tcBorders>
              <w:top w:val="single" w:color="000000" w:sz="4" w:space="0"/>
            </w:tcBorders>
            <w:tcMar>
              <w:top w:w="0" w:type="dxa"/>
              <w:left w:w="113" w:type="dxa"/>
              <w:bottom w:w="0" w:type="dxa"/>
              <w:right w:w="113" w:type="dxa"/>
            </w:tcMar>
            <w:vAlign w:val="center"/>
          </w:tcPr>
          <w:p>
            <w:pPr>
              <w:pStyle w:val="8"/>
              <w:kinsoku/>
              <w:spacing w:line="260" w:lineRule="atLeast"/>
              <w:jc w:val="center"/>
              <w:rPr>
                <w:rFonts w:ascii="仿宋_GB2312" w:hAnsi="仿宋_GB2312" w:eastAsia="仿宋_GB2312" w:cs="仿宋_GB2312"/>
                <w:spacing w:val="-3"/>
                <w:position w:val="14"/>
                <w:sz w:val="24"/>
                <w:szCs w:val="24"/>
              </w:rPr>
            </w:pPr>
            <w:r>
              <w:rPr>
                <w:rFonts w:hint="eastAsia" w:ascii="仿宋_GB2312" w:hAnsi="仿宋_GB2312" w:eastAsia="仿宋_GB2312" w:cs="仿宋_GB2312"/>
                <w:b/>
                <w:bCs/>
                <w:spacing w:val="-3"/>
                <w:position w:val="14"/>
                <w:sz w:val="24"/>
                <w:szCs w:val="24"/>
              </w:rPr>
              <w:t>视频质量</w:t>
            </w:r>
          </w:p>
        </w:tc>
        <w:tc>
          <w:tcPr>
            <w:tcW w:w="8416"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教学视频清晰、流畅，能客观、真实反映教师和学生的教学过程常态。</w:t>
            </w:r>
          </w:p>
        </w:tc>
      </w:tr>
    </w:tbl>
    <w:p>
      <w:pPr>
        <w:pStyle w:val="2"/>
        <w:spacing w:before="0" w:after="0" w:line="240" w:lineRule="auto"/>
        <w:rPr>
          <w:rFonts w:ascii="黑体" w:hAnsi="黑体" w:eastAsia="黑体" w:cs="黑体"/>
          <w:b w:val="0"/>
          <w:bCs w:val="0"/>
          <w:sz w:val="29"/>
          <w:szCs w:val="29"/>
          <w:lang w:eastAsia="zh-CN"/>
        </w:rPr>
      </w:pPr>
      <w:r>
        <w:rPr>
          <w:rFonts w:ascii="黑体" w:hAnsi="黑体" w:eastAsia="黑体" w:cs="黑体"/>
          <w:b w:val="0"/>
          <w:bCs w:val="0"/>
          <w:sz w:val="29"/>
          <w:szCs w:val="29"/>
          <w:lang w:eastAsia="zh-CN"/>
        </w:rPr>
        <w:t>二、教学创新成果报告(20分)</w:t>
      </w:r>
    </w:p>
    <w:tbl>
      <w:tblPr>
        <w:tblStyle w:val="9"/>
        <w:tblW w:w="5271" w:type="pct"/>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7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82" w:type="dxa"/>
            <w:tcMar>
              <w:top w:w="0" w:type="dxa"/>
              <w:left w:w="113" w:type="dxa"/>
              <w:bottom w:w="0" w:type="dxa"/>
              <w:right w:w="113" w:type="dxa"/>
            </w:tcMar>
            <w:vAlign w:val="center"/>
          </w:tcPr>
          <w:p>
            <w:pPr>
              <w:pStyle w:val="8"/>
              <w:spacing w:line="300" w:lineRule="atLeast"/>
              <w:jc w:val="center"/>
              <w:rPr>
                <w:rFonts w:ascii="仿宋_GB2312" w:hAnsi="仿宋_GB2312" w:eastAsia="仿宋_GB2312" w:cs="仿宋_GB2312"/>
                <w:sz w:val="24"/>
                <w:szCs w:val="24"/>
              </w:rPr>
            </w:pPr>
            <w:r>
              <w:rPr>
                <w:rFonts w:hint="eastAsia" w:ascii="仿宋_GB2312" w:hAnsi="仿宋_GB2312" w:eastAsia="仿宋_GB2312" w:cs="仿宋_GB2312"/>
                <w:b/>
                <w:bCs/>
                <w:spacing w:val="-4"/>
                <w:sz w:val="24"/>
                <w:szCs w:val="24"/>
              </w:rPr>
              <w:t>评价维度</w:t>
            </w:r>
          </w:p>
        </w:tc>
        <w:tc>
          <w:tcPr>
            <w:tcW w:w="8314" w:type="dxa"/>
            <w:tcMar>
              <w:top w:w="0" w:type="dxa"/>
              <w:left w:w="113" w:type="dxa"/>
              <w:bottom w:w="0" w:type="dxa"/>
              <w:right w:w="113" w:type="dxa"/>
            </w:tcMar>
          </w:tcPr>
          <w:p>
            <w:pPr>
              <w:pStyle w:val="8"/>
              <w:spacing w:line="360" w:lineRule="atLeast"/>
              <w:ind w:left="2985"/>
              <w:rPr>
                <w:rFonts w:ascii="仿宋_GB2312" w:hAnsi="仿宋_GB2312" w:eastAsia="仿宋_GB2312" w:cs="仿宋_GB2312"/>
                <w:sz w:val="24"/>
                <w:szCs w:val="24"/>
              </w:rPr>
            </w:pPr>
            <w:r>
              <w:rPr>
                <w:rFonts w:hint="eastAsia" w:ascii="仿宋_GB2312" w:hAnsi="仿宋_GB2312" w:eastAsia="仿宋_GB2312" w:cs="仿宋_GB2312"/>
                <w:b/>
                <w:bCs/>
                <w:spacing w:val="1"/>
                <w:sz w:val="24"/>
                <w:szCs w:val="24"/>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82" w:type="dxa"/>
            <w:tcMar>
              <w:top w:w="0" w:type="dxa"/>
              <w:left w:w="113" w:type="dxa"/>
              <w:bottom w:w="0" w:type="dxa"/>
              <w:right w:w="113" w:type="dxa"/>
            </w:tcMar>
            <w:vAlign w:val="center"/>
          </w:tcPr>
          <w:p>
            <w:pPr>
              <w:pStyle w:val="8"/>
              <w:keepNext w:val="0"/>
              <w:keepLines w:val="0"/>
              <w:pageBreakBefore w:val="0"/>
              <w:widowControl/>
              <w:overflowPunct/>
              <w:bidi w:val="0"/>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b/>
                <w:bCs/>
                <w:position w:val="13"/>
                <w:sz w:val="24"/>
                <w:szCs w:val="24"/>
              </w:rPr>
              <w:t>有明确的</w:t>
            </w:r>
          </w:p>
          <w:p>
            <w:pPr>
              <w:pStyle w:val="8"/>
              <w:keepNext w:val="0"/>
              <w:keepLines w:val="0"/>
              <w:pageBreakBefore w:val="0"/>
              <w:widowControl/>
              <w:overflowPunct/>
              <w:bidi w:val="0"/>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b/>
                <w:bCs/>
                <w:spacing w:val="1"/>
                <w:sz w:val="24"/>
                <w:szCs w:val="24"/>
              </w:rPr>
              <w:t>问题导向</w:t>
            </w:r>
          </w:p>
        </w:tc>
        <w:tc>
          <w:tcPr>
            <w:tcW w:w="8314"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spacing w:line="240" w:lineRule="auto"/>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立足于课堂教学真实问题，能体现“以学生发展为中心”的理念，提出解决问题的思路与方案。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82" w:type="dxa"/>
            <w:tcMar>
              <w:top w:w="0" w:type="dxa"/>
              <w:left w:w="113" w:type="dxa"/>
              <w:bottom w:w="0" w:type="dxa"/>
              <w:right w:w="113" w:type="dxa"/>
            </w:tcMar>
            <w:vAlign w:val="center"/>
          </w:tcPr>
          <w:p>
            <w:pPr>
              <w:pStyle w:val="8"/>
              <w:keepNext w:val="0"/>
              <w:keepLines w:val="0"/>
              <w:pageBreakBefore w:val="0"/>
              <w:widowControl/>
              <w:overflowPunct/>
              <w:bidi w:val="0"/>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b/>
                <w:bCs/>
                <w:position w:val="13"/>
                <w:sz w:val="24"/>
                <w:szCs w:val="24"/>
              </w:rPr>
              <w:t>有明显的</w:t>
            </w:r>
          </w:p>
          <w:p>
            <w:pPr>
              <w:pStyle w:val="8"/>
              <w:keepNext w:val="0"/>
              <w:keepLines w:val="0"/>
              <w:pageBreakBefore w:val="0"/>
              <w:widowControl/>
              <w:overflowPunct/>
              <w:bidi w:val="0"/>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b/>
                <w:bCs/>
                <w:spacing w:val="-4"/>
                <w:sz w:val="24"/>
                <w:szCs w:val="24"/>
              </w:rPr>
              <w:t>创新特色</w:t>
            </w:r>
          </w:p>
        </w:tc>
        <w:tc>
          <w:tcPr>
            <w:tcW w:w="8314"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spacing w:line="240" w:lineRule="auto"/>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把“四新”建设要求贯穿到教学过程中，对教学目标、内容、方法、活动、评价等教学过程各环节分析全面、透彻，能够凸显教学创新点。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82" w:type="dxa"/>
            <w:tcMar>
              <w:top w:w="0" w:type="dxa"/>
              <w:left w:w="113" w:type="dxa"/>
              <w:bottom w:w="0" w:type="dxa"/>
              <w:right w:w="113" w:type="dxa"/>
            </w:tcMar>
            <w:vAlign w:val="center"/>
          </w:tcPr>
          <w:p>
            <w:pPr>
              <w:pStyle w:val="8"/>
              <w:keepNext w:val="0"/>
              <w:keepLines w:val="0"/>
              <w:pageBreakBefore w:val="0"/>
              <w:widowControl/>
              <w:overflowPunct/>
              <w:bidi w:val="0"/>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b/>
                <w:bCs/>
                <w:spacing w:val="-4"/>
                <w:position w:val="14"/>
                <w:sz w:val="24"/>
                <w:szCs w:val="24"/>
              </w:rPr>
              <w:t>体现课程</w:t>
            </w:r>
          </w:p>
          <w:p>
            <w:pPr>
              <w:pStyle w:val="8"/>
              <w:keepNext w:val="0"/>
              <w:keepLines w:val="0"/>
              <w:pageBreakBefore w:val="0"/>
              <w:widowControl/>
              <w:overflowPunct/>
              <w:bidi w:val="0"/>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b/>
                <w:bCs/>
                <w:spacing w:val="-6"/>
                <w:sz w:val="24"/>
                <w:szCs w:val="24"/>
              </w:rPr>
              <w:t>思政特色</w:t>
            </w:r>
          </w:p>
        </w:tc>
        <w:tc>
          <w:tcPr>
            <w:tcW w:w="8314"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spacing w:line="240" w:lineRule="auto"/>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概述在课程思政建设方面的特色、亮点和创新点，形成可供借鉴推广的经验做法。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82" w:type="dxa"/>
            <w:tcMar>
              <w:top w:w="0" w:type="dxa"/>
              <w:left w:w="113" w:type="dxa"/>
              <w:bottom w:w="0" w:type="dxa"/>
              <w:right w:w="113" w:type="dxa"/>
            </w:tcMar>
            <w:vAlign w:val="center"/>
          </w:tcPr>
          <w:p>
            <w:pPr>
              <w:pStyle w:val="8"/>
              <w:keepNext w:val="0"/>
              <w:keepLines w:val="0"/>
              <w:pageBreakBefore w:val="0"/>
              <w:widowControl/>
              <w:overflowPunct/>
              <w:bidi w:val="0"/>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b/>
                <w:bCs/>
                <w:spacing w:val="-5"/>
                <w:position w:val="12"/>
                <w:sz w:val="24"/>
                <w:szCs w:val="24"/>
              </w:rPr>
              <w:t>关注技术</w:t>
            </w:r>
          </w:p>
          <w:p>
            <w:pPr>
              <w:pStyle w:val="8"/>
              <w:keepNext w:val="0"/>
              <w:keepLines w:val="0"/>
              <w:pageBreakBefore w:val="0"/>
              <w:widowControl/>
              <w:overflowPunct/>
              <w:bidi w:val="0"/>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b/>
                <w:bCs/>
                <w:spacing w:val="-4"/>
                <w:sz w:val="24"/>
                <w:szCs w:val="24"/>
              </w:rPr>
              <w:t>应用于教学</w:t>
            </w:r>
          </w:p>
        </w:tc>
        <w:tc>
          <w:tcPr>
            <w:tcW w:w="8314"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spacing w:line="240" w:lineRule="auto"/>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能够把握新时代下学生学习特点，充分利用现代信息技术开展课程教学活动和学习评价。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82" w:type="dxa"/>
            <w:tcMar>
              <w:top w:w="0" w:type="dxa"/>
              <w:left w:w="113" w:type="dxa"/>
              <w:bottom w:w="0" w:type="dxa"/>
              <w:right w:w="113" w:type="dxa"/>
            </w:tcMar>
            <w:vAlign w:val="center"/>
          </w:tcPr>
          <w:p>
            <w:pPr>
              <w:pStyle w:val="8"/>
              <w:keepNext w:val="0"/>
              <w:keepLines w:val="0"/>
              <w:pageBreakBefore w:val="0"/>
              <w:widowControl/>
              <w:overflowPunct/>
              <w:bidi w:val="0"/>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b/>
                <w:bCs/>
                <w:spacing w:val="-4"/>
                <w:position w:val="13"/>
                <w:sz w:val="24"/>
                <w:szCs w:val="24"/>
              </w:rPr>
              <w:t>注重创新</w:t>
            </w:r>
          </w:p>
          <w:p>
            <w:pPr>
              <w:pStyle w:val="8"/>
              <w:keepNext w:val="0"/>
              <w:keepLines w:val="0"/>
              <w:pageBreakBefore w:val="0"/>
              <w:widowControl/>
              <w:overflowPunct/>
              <w:bidi w:val="0"/>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b/>
                <w:bCs/>
                <w:spacing w:val="-4"/>
                <w:sz w:val="24"/>
                <w:szCs w:val="24"/>
              </w:rPr>
              <w:t>成果的辐射</w:t>
            </w:r>
          </w:p>
        </w:tc>
        <w:tc>
          <w:tcPr>
            <w:tcW w:w="8314" w:type="dxa"/>
            <w:tcMar>
              <w:top w:w="0" w:type="dxa"/>
              <w:left w:w="113" w:type="dxa"/>
              <w:bottom w:w="0" w:type="dxa"/>
              <w:right w:w="113" w:type="dxa"/>
            </w:tcMar>
            <w:vAlign w:val="center"/>
          </w:tcPr>
          <w:p>
            <w:pPr>
              <w:keepNext w:val="0"/>
              <w:keepLines w:val="0"/>
              <w:pageBreakBefore w:val="0"/>
              <w:widowControl/>
              <w:kinsoku/>
              <w:wordWrap w:val="0"/>
              <w:overflowPunct/>
              <w:topLinePunct/>
              <w:autoSpaceDE/>
              <w:autoSpaceDN/>
              <w:bidi w:val="0"/>
              <w:adjustRightInd w:val="0"/>
              <w:snapToGrid w:val="0"/>
              <w:spacing w:line="240" w:lineRule="auto"/>
              <w:jc w:val="both"/>
              <w:textAlignment w:val="baseline"/>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能够对创新实践成效开展基于证据的有效分析与总结，形成具有较强辐射推广价值的教学新方法、新模式。</w:t>
            </w:r>
          </w:p>
        </w:tc>
      </w:tr>
    </w:tbl>
    <w:p>
      <w:pPr>
        <w:spacing w:before="219" w:line="580" w:lineRule="exact"/>
        <w:ind w:left="48"/>
        <w:outlineLvl w:val="2"/>
        <w:rPr>
          <w:rFonts w:ascii="黑体" w:hAnsi="黑体" w:eastAsia="黑体" w:cs="黑体"/>
          <w:b w:val="0"/>
          <w:bCs w:val="0"/>
          <w:sz w:val="28"/>
          <w:szCs w:val="28"/>
          <w:lang w:eastAsia="zh-CN"/>
        </w:rPr>
      </w:pPr>
      <w:r>
        <w:rPr>
          <w:rFonts w:ascii="黑体" w:hAnsi="黑体" w:eastAsia="黑体" w:cs="黑体"/>
          <w:b w:val="0"/>
          <w:bCs w:val="0"/>
          <w:spacing w:val="10"/>
          <w:sz w:val="28"/>
          <w:szCs w:val="28"/>
          <w:lang w:eastAsia="zh-CN"/>
        </w:rPr>
        <w:t>三、教学设计创新汇报(</w:t>
      </w:r>
      <w:r>
        <w:rPr>
          <w:rFonts w:hint="eastAsia" w:ascii="黑体" w:hAnsi="黑体" w:eastAsia="黑体" w:cs="黑体"/>
          <w:b w:val="0"/>
          <w:bCs w:val="0"/>
          <w:spacing w:val="10"/>
          <w:sz w:val="28"/>
          <w:szCs w:val="28"/>
          <w:lang w:val="en-US" w:eastAsia="zh-CN"/>
        </w:rPr>
        <w:t>30</w:t>
      </w:r>
      <w:r>
        <w:rPr>
          <w:rFonts w:ascii="黑体" w:hAnsi="黑体" w:eastAsia="黑体" w:cs="黑体"/>
          <w:b w:val="0"/>
          <w:bCs w:val="0"/>
          <w:spacing w:val="10"/>
          <w:sz w:val="28"/>
          <w:szCs w:val="28"/>
          <w:lang w:eastAsia="zh-CN"/>
        </w:rPr>
        <w:t>分)</w:t>
      </w:r>
    </w:p>
    <w:tbl>
      <w:tblPr>
        <w:tblStyle w:val="9"/>
        <w:tblW w:w="5278" w:type="pct"/>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492" w:type="dxa"/>
            <w:tcMar>
              <w:left w:w="113" w:type="dxa"/>
              <w:right w:w="113" w:type="dxa"/>
            </w:tcMar>
            <w:vAlign w:val="center"/>
          </w:tcPr>
          <w:p>
            <w:pPr>
              <w:pStyle w:val="8"/>
              <w:spacing w:before="48" w:beforeLines="20"/>
              <w:jc w:val="center"/>
              <w:rPr>
                <w:rFonts w:ascii="仿宋_GB2312" w:hAnsi="仿宋_GB2312" w:eastAsia="仿宋_GB2312" w:cs="仿宋_GB2312"/>
                <w:sz w:val="24"/>
                <w:szCs w:val="24"/>
              </w:rPr>
            </w:pPr>
            <w:r>
              <w:rPr>
                <w:rFonts w:hint="eastAsia" w:ascii="仿宋_GB2312" w:hAnsi="仿宋_GB2312" w:eastAsia="仿宋_GB2312" w:cs="仿宋_GB2312"/>
                <w:b/>
                <w:bCs/>
                <w:spacing w:val="-4"/>
                <w:sz w:val="24"/>
                <w:szCs w:val="24"/>
              </w:rPr>
              <w:t>评价维度</w:t>
            </w:r>
          </w:p>
        </w:tc>
        <w:tc>
          <w:tcPr>
            <w:tcW w:w="8317" w:type="dxa"/>
            <w:tcMar>
              <w:left w:w="113" w:type="dxa"/>
              <w:right w:w="113" w:type="dxa"/>
            </w:tcMar>
          </w:tcPr>
          <w:p>
            <w:pPr>
              <w:pStyle w:val="8"/>
              <w:spacing w:before="48" w:beforeLines="20"/>
              <w:ind w:left="2985"/>
              <w:rPr>
                <w:rFonts w:ascii="仿宋_GB2312" w:hAnsi="仿宋_GB2312" w:eastAsia="仿宋_GB2312" w:cs="仿宋_GB2312"/>
                <w:sz w:val="24"/>
                <w:szCs w:val="24"/>
              </w:rPr>
            </w:pPr>
            <w:r>
              <w:rPr>
                <w:rFonts w:hint="eastAsia" w:ascii="仿宋_GB2312" w:hAnsi="仿宋_GB2312" w:eastAsia="仿宋_GB2312" w:cs="仿宋_GB2312"/>
                <w:b/>
                <w:bCs/>
                <w:spacing w:val="1"/>
                <w:sz w:val="24"/>
                <w:szCs w:val="24"/>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92" w:type="dxa"/>
            <w:tcMar>
              <w:left w:w="113" w:type="dxa"/>
              <w:right w:w="113" w:type="dxa"/>
            </w:tcMar>
            <w:vAlign w:val="center"/>
          </w:tcPr>
          <w:p>
            <w:pPr>
              <w:pStyle w:val="8"/>
              <w:spacing w:line="360" w:lineRule="atLeast"/>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5"/>
                <w:sz w:val="24"/>
                <w:szCs w:val="24"/>
              </w:rPr>
              <w:t>理念与目标</w:t>
            </w:r>
          </w:p>
        </w:tc>
        <w:tc>
          <w:tcPr>
            <w:tcW w:w="8317" w:type="dxa"/>
            <w:tcMar>
              <w:left w:w="113" w:type="dxa"/>
              <w:right w:w="113" w:type="dxa"/>
            </w:tcMar>
            <w:vAlign w:val="center"/>
          </w:tcPr>
          <w:p>
            <w:pPr>
              <w:kinsoku/>
              <w:wordWrap w:val="0"/>
              <w:topLinePunct/>
              <w:autoSpaceDE/>
              <w:autoSpaceDN/>
              <w:spacing w:before="24" w:beforeLines="10"/>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92" w:type="dxa"/>
            <w:vMerge w:val="restart"/>
            <w:tcBorders>
              <w:bottom w:val="nil"/>
            </w:tcBorders>
            <w:tcMar>
              <w:left w:w="113" w:type="dxa"/>
              <w:right w:w="113" w:type="dxa"/>
            </w:tcMar>
            <w:vAlign w:val="center"/>
          </w:tcPr>
          <w:p>
            <w:pPr>
              <w:pStyle w:val="8"/>
              <w:spacing w:line="360" w:lineRule="atLeast"/>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2"/>
                <w:sz w:val="24"/>
                <w:szCs w:val="24"/>
              </w:rPr>
              <w:t>内容分析</w:t>
            </w:r>
          </w:p>
        </w:tc>
        <w:tc>
          <w:tcPr>
            <w:tcW w:w="8317" w:type="dxa"/>
            <w:tcMar>
              <w:left w:w="113" w:type="dxa"/>
              <w:right w:w="113" w:type="dxa"/>
            </w:tcMar>
            <w:vAlign w:val="center"/>
          </w:tcPr>
          <w:p>
            <w:pPr>
              <w:kinsoku/>
              <w:wordWrap w:val="0"/>
              <w:topLinePunct/>
              <w:autoSpaceDE/>
              <w:autoSpaceDN/>
              <w:spacing w:before="24" w:beforeLines="10"/>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教学内容前后知识点关系、地位、作用描述准确，重点、难点分析清楚。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92" w:type="dxa"/>
            <w:vMerge w:val="continue"/>
            <w:tcBorders>
              <w:top w:val="nil"/>
            </w:tcBorders>
            <w:tcMar>
              <w:left w:w="113" w:type="dxa"/>
              <w:right w:w="113" w:type="dxa"/>
            </w:tcMar>
            <w:vAlign w:val="center"/>
          </w:tcPr>
          <w:p>
            <w:pPr>
              <w:spacing w:line="360" w:lineRule="atLeast"/>
              <w:jc w:val="center"/>
              <w:rPr>
                <w:rFonts w:ascii="仿宋_GB2312" w:hAnsi="仿宋_GB2312" w:eastAsia="仿宋_GB2312" w:cs="仿宋_GB2312"/>
                <w:b/>
                <w:bCs/>
                <w:sz w:val="24"/>
                <w:szCs w:val="24"/>
                <w:lang w:eastAsia="zh-CN"/>
              </w:rPr>
            </w:pPr>
          </w:p>
        </w:tc>
        <w:tc>
          <w:tcPr>
            <w:tcW w:w="8317" w:type="dxa"/>
            <w:tcMar>
              <w:left w:w="113" w:type="dxa"/>
              <w:right w:w="113" w:type="dxa"/>
            </w:tcMar>
            <w:vAlign w:val="center"/>
          </w:tcPr>
          <w:p>
            <w:pPr>
              <w:kinsoku/>
              <w:wordWrap w:val="0"/>
              <w:topLinePunct/>
              <w:autoSpaceDE/>
              <w:autoSpaceDN/>
              <w:spacing w:before="24" w:beforeLines="10"/>
              <w:jc w:val="both"/>
              <w:rPr>
                <w:rFonts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lang w:eastAsia="zh-CN"/>
              </w:rPr>
              <w:t>能够将教学内容与学科研究新进展、实践发展新经验、社会需求新变化</w:t>
            </w:r>
            <w:r>
              <w:rPr>
                <w:rFonts w:hint="eastAsia" w:ascii="仿宋_GB2312" w:hAnsi="仿宋_GB2312" w:eastAsia="仿宋_GB2312" w:cs="仿宋_GB2312"/>
                <w:color w:val="auto"/>
                <w:spacing w:val="0"/>
                <w:position w:val="0"/>
                <w:sz w:val="24"/>
                <w:szCs w:val="24"/>
              </w:rPr>
              <w:t>相联系。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492" w:type="dxa"/>
            <w:tcMar>
              <w:left w:w="113" w:type="dxa"/>
              <w:right w:w="113" w:type="dxa"/>
            </w:tcMar>
            <w:vAlign w:val="center"/>
          </w:tcPr>
          <w:p>
            <w:pPr>
              <w:pStyle w:val="8"/>
              <w:spacing w:line="360" w:lineRule="atLeast"/>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2"/>
                <w:sz w:val="24"/>
                <w:szCs w:val="24"/>
              </w:rPr>
              <w:t>学情分析</w:t>
            </w:r>
          </w:p>
        </w:tc>
        <w:tc>
          <w:tcPr>
            <w:tcW w:w="8317" w:type="dxa"/>
            <w:tcMar>
              <w:left w:w="113" w:type="dxa"/>
              <w:right w:w="113" w:type="dxa"/>
            </w:tcMar>
            <w:vAlign w:val="center"/>
          </w:tcPr>
          <w:p>
            <w:pPr>
              <w:kinsoku/>
              <w:wordWrap w:val="0"/>
              <w:topLinePunct/>
              <w:autoSpaceDE/>
              <w:autoSpaceDN/>
              <w:spacing w:before="24" w:beforeLines="10"/>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学生认知特点和起点水平表述恰当，学习习惯和能力分析合理。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92" w:type="dxa"/>
            <w:tcMar>
              <w:left w:w="113" w:type="dxa"/>
              <w:right w:w="113" w:type="dxa"/>
            </w:tcMar>
            <w:vAlign w:val="center"/>
          </w:tcPr>
          <w:p>
            <w:pPr>
              <w:pStyle w:val="8"/>
              <w:spacing w:line="360" w:lineRule="atLeast"/>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课程思政</w:t>
            </w:r>
          </w:p>
        </w:tc>
        <w:tc>
          <w:tcPr>
            <w:tcW w:w="8317" w:type="dxa"/>
            <w:tcMar>
              <w:left w:w="113" w:type="dxa"/>
              <w:right w:w="113" w:type="dxa"/>
            </w:tcMar>
            <w:vAlign w:val="center"/>
          </w:tcPr>
          <w:p>
            <w:pPr>
              <w:kinsoku/>
              <w:wordWrap w:val="0"/>
              <w:topLinePunct/>
              <w:autoSpaceDE/>
              <w:autoSpaceDN/>
              <w:spacing w:before="24" w:beforeLines="10"/>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将思想政治教育与专业教育有机融合，引用典型教学案例举例说明，具有示范作用和推广价值。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492" w:type="dxa"/>
            <w:vMerge w:val="restart"/>
            <w:tcMar>
              <w:left w:w="113" w:type="dxa"/>
              <w:right w:w="113" w:type="dxa"/>
            </w:tcMar>
            <w:vAlign w:val="center"/>
          </w:tcPr>
          <w:p>
            <w:pPr>
              <w:pStyle w:val="8"/>
              <w:spacing w:line="360" w:lineRule="atLeast"/>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过程与方法</w:t>
            </w:r>
          </w:p>
        </w:tc>
        <w:tc>
          <w:tcPr>
            <w:tcW w:w="8317" w:type="dxa"/>
            <w:tcMar>
              <w:left w:w="113" w:type="dxa"/>
              <w:right w:w="113" w:type="dxa"/>
            </w:tcMar>
            <w:vAlign w:val="center"/>
          </w:tcPr>
          <w:p>
            <w:pPr>
              <w:kinsoku/>
              <w:wordWrap w:val="0"/>
              <w:topLinePunct/>
              <w:autoSpaceDE/>
              <w:autoSpaceDN/>
              <w:spacing w:before="24" w:beforeLines="10"/>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教学活动丰富多样，能体现各等级水平的知识、技能和情感价值目标。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92" w:type="dxa"/>
            <w:vMerge w:val="continue"/>
            <w:tcMar>
              <w:left w:w="113" w:type="dxa"/>
              <w:right w:w="113" w:type="dxa"/>
            </w:tcMar>
            <w:vAlign w:val="center"/>
          </w:tcPr>
          <w:p>
            <w:pPr>
              <w:spacing w:line="360" w:lineRule="atLeast"/>
              <w:jc w:val="center"/>
              <w:rPr>
                <w:rFonts w:ascii="仿宋_GB2312" w:hAnsi="仿宋_GB2312" w:eastAsia="仿宋_GB2312" w:cs="仿宋_GB2312"/>
                <w:sz w:val="24"/>
                <w:szCs w:val="24"/>
                <w:lang w:eastAsia="zh-CN"/>
              </w:rPr>
            </w:pPr>
          </w:p>
        </w:tc>
        <w:tc>
          <w:tcPr>
            <w:tcW w:w="8317" w:type="dxa"/>
            <w:tcMar>
              <w:left w:w="113" w:type="dxa"/>
              <w:right w:w="113" w:type="dxa"/>
            </w:tcMar>
            <w:vAlign w:val="center"/>
          </w:tcPr>
          <w:p>
            <w:pPr>
              <w:kinsoku/>
              <w:wordWrap w:val="0"/>
              <w:topLinePunct/>
              <w:autoSpaceDE/>
              <w:autoSpaceDN/>
              <w:spacing w:before="24" w:beforeLines="10"/>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能创造性地使用教材，内容充实精要，适合学生水平；结构合理，过渡自然，便于操作；理论联系实际，启发学生思考及问题解决。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492" w:type="dxa"/>
            <w:vMerge w:val="continue"/>
            <w:tcMar>
              <w:left w:w="113" w:type="dxa"/>
              <w:right w:w="113" w:type="dxa"/>
            </w:tcMar>
            <w:vAlign w:val="center"/>
          </w:tcPr>
          <w:p>
            <w:pPr>
              <w:spacing w:line="360" w:lineRule="atLeast"/>
              <w:jc w:val="center"/>
              <w:rPr>
                <w:rFonts w:ascii="仿宋_GB2312" w:hAnsi="仿宋_GB2312" w:eastAsia="仿宋_GB2312" w:cs="仿宋_GB2312"/>
                <w:sz w:val="24"/>
                <w:szCs w:val="24"/>
                <w:lang w:eastAsia="zh-CN"/>
              </w:rPr>
            </w:pPr>
          </w:p>
        </w:tc>
        <w:tc>
          <w:tcPr>
            <w:tcW w:w="8317" w:type="dxa"/>
            <w:tcMar>
              <w:left w:w="113" w:type="dxa"/>
              <w:right w:w="113" w:type="dxa"/>
            </w:tcMar>
            <w:vAlign w:val="center"/>
          </w:tcPr>
          <w:p>
            <w:pPr>
              <w:kinsoku/>
              <w:wordWrap w:val="0"/>
              <w:topLinePunct/>
              <w:autoSpaceDE/>
              <w:autoSpaceDN/>
              <w:spacing w:before="24" w:beforeLines="10"/>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能根据课程特点，用创新的教学策略、方法、技术解决课堂中存在的各种问题和困难；教学重点突出，难点把握准确。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92" w:type="dxa"/>
            <w:vMerge w:val="continue"/>
            <w:tcMar>
              <w:left w:w="113" w:type="dxa"/>
              <w:right w:w="113" w:type="dxa"/>
            </w:tcMar>
            <w:vAlign w:val="center"/>
          </w:tcPr>
          <w:p>
            <w:pPr>
              <w:spacing w:line="360" w:lineRule="atLeast"/>
              <w:jc w:val="center"/>
              <w:rPr>
                <w:rFonts w:ascii="仿宋_GB2312" w:hAnsi="仿宋_GB2312" w:eastAsia="仿宋_GB2312" w:cs="仿宋_GB2312"/>
                <w:sz w:val="24"/>
                <w:szCs w:val="24"/>
                <w:lang w:eastAsia="zh-CN"/>
              </w:rPr>
            </w:pPr>
          </w:p>
        </w:tc>
        <w:tc>
          <w:tcPr>
            <w:tcW w:w="8317" w:type="dxa"/>
            <w:tcMar>
              <w:left w:w="113" w:type="dxa"/>
              <w:right w:w="113" w:type="dxa"/>
            </w:tcMar>
            <w:vAlign w:val="center"/>
          </w:tcPr>
          <w:p>
            <w:pPr>
              <w:kinsoku/>
              <w:wordWrap w:val="0"/>
              <w:topLinePunct/>
              <w:autoSpaceDE/>
              <w:autoSpaceDN/>
              <w:spacing w:before="24" w:beforeLines="10"/>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合理选择与应用信息技术，创设教学环境，关注师生、生生互动，强调自主、合作、探究的学习。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92" w:type="dxa"/>
            <w:vMerge w:val="restart"/>
            <w:tcBorders>
              <w:bottom w:val="nil"/>
            </w:tcBorders>
            <w:tcMar>
              <w:top w:w="0" w:type="dxa"/>
              <w:left w:w="113" w:type="dxa"/>
              <w:bottom w:w="0" w:type="dxa"/>
              <w:right w:w="113" w:type="dxa"/>
            </w:tcMar>
            <w:vAlign w:val="center"/>
          </w:tcPr>
          <w:p>
            <w:pPr>
              <w:pStyle w:val="8"/>
              <w:spacing w:line="360" w:lineRule="atLeast"/>
              <w:jc w:val="center"/>
              <w:rPr>
                <w:rFonts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考评与反馈</w:t>
            </w:r>
          </w:p>
        </w:tc>
        <w:tc>
          <w:tcPr>
            <w:tcW w:w="8317" w:type="dxa"/>
            <w:tcMar>
              <w:top w:w="0" w:type="dxa"/>
              <w:left w:w="113" w:type="dxa"/>
              <w:bottom w:w="0" w:type="dxa"/>
              <w:right w:w="113" w:type="dxa"/>
            </w:tcMar>
            <w:vAlign w:val="center"/>
          </w:tcPr>
          <w:p>
            <w:pPr>
              <w:kinsoku/>
              <w:wordWrap w:val="0"/>
              <w:topLinePunct/>
              <w:autoSpaceDE/>
              <w:autoSpaceDN/>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采用多元评价方法，合理评价学生知识、能力与思维的发展。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92" w:type="dxa"/>
            <w:vMerge w:val="continue"/>
            <w:tcBorders>
              <w:top w:val="nil"/>
            </w:tcBorders>
            <w:tcMar>
              <w:top w:w="0" w:type="dxa"/>
              <w:left w:w="113" w:type="dxa"/>
              <w:bottom w:w="0" w:type="dxa"/>
              <w:right w:w="113" w:type="dxa"/>
            </w:tcMar>
            <w:vAlign w:val="center"/>
          </w:tcPr>
          <w:p>
            <w:pPr>
              <w:pStyle w:val="8"/>
              <w:spacing w:line="360" w:lineRule="atLeast"/>
              <w:jc w:val="center"/>
              <w:rPr>
                <w:rFonts w:ascii="仿宋_GB2312" w:hAnsi="仿宋_GB2312" w:eastAsia="仿宋_GB2312" w:cs="仿宋_GB2312"/>
                <w:b/>
                <w:bCs/>
                <w:spacing w:val="-4"/>
                <w:sz w:val="24"/>
                <w:szCs w:val="24"/>
                <w:lang w:eastAsia="zh-CN"/>
              </w:rPr>
            </w:pPr>
          </w:p>
        </w:tc>
        <w:tc>
          <w:tcPr>
            <w:tcW w:w="8317" w:type="dxa"/>
            <w:tcMar>
              <w:top w:w="0" w:type="dxa"/>
              <w:left w:w="113" w:type="dxa"/>
              <w:bottom w:w="0" w:type="dxa"/>
              <w:right w:w="113" w:type="dxa"/>
            </w:tcMar>
            <w:vAlign w:val="center"/>
          </w:tcPr>
          <w:p>
            <w:pPr>
              <w:kinsoku/>
              <w:wordWrap w:val="0"/>
              <w:topLinePunct/>
              <w:autoSpaceDE/>
              <w:autoSpaceDN/>
              <w:jc w:val="both"/>
              <w:rPr>
                <w:rFonts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lang w:eastAsia="zh-CN"/>
              </w:rPr>
              <w:t>过程性评价与终结性评价相结合，有适合学科、学生特点的评价规则与</w:t>
            </w:r>
            <w:r>
              <w:rPr>
                <w:rFonts w:hint="eastAsia" w:ascii="仿宋_GB2312" w:hAnsi="仿宋_GB2312" w:eastAsia="仿宋_GB2312" w:cs="仿宋_GB2312"/>
                <w:color w:val="auto"/>
                <w:spacing w:val="0"/>
                <w:position w:val="0"/>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92" w:type="dxa"/>
            <w:tcMar>
              <w:top w:w="0" w:type="dxa"/>
              <w:left w:w="113" w:type="dxa"/>
              <w:bottom w:w="0" w:type="dxa"/>
              <w:right w:w="113" w:type="dxa"/>
            </w:tcMar>
            <w:vAlign w:val="center"/>
          </w:tcPr>
          <w:p>
            <w:pPr>
              <w:pStyle w:val="8"/>
              <w:spacing w:line="360" w:lineRule="atLeast"/>
              <w:jc w:val="center"/>
              <w:rPr>
                <w:rFonts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文档规范</w:t>
            </w:r>
          </w:p>
        </w:tc>
        <w:tc>
          <w:tcPr>
            <w:tcW w:w="8317" w:type="dxa"/>
            <w:tcMar>
              <w:top w:w="0" w:type="dxa"/>
              <w:left w:w="113" w:type="dxa"/>
              <w:bottom w:w="0" w:type="dxa"/>
              <w:right w:w="113" w:type="dxa"/>
            </w:tcMar>
            <w:vAlign w:val="center"/>
          </w:tcPr>
          <w:p>
            <w:pPr>
              <w:kinsoku/>
              <w:wordWrap w:val="0"/>
              <w:topLinePunct/>
              <w:autoSpaceDE/>
              <w:autoSpaceDN/>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文字、符号、单位和公式符合标准规范；语言简洁、明了，字体、图表运用适当；文档结构完整，布局合理，格式美观。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92" w:type="dxa"/>
            <w:tcMar>
              <w:top w:w="0" w:type="dxa"/>
              <w:left w:w="113" w:type="dxa"/>
              <w:bottom w:w="0" w:type="dxa"/>
              <w:right w:w="113" w:type="dxa"/>
            </w:tcMar>
            <w:vAlign w:val="center"/>
          </w:tcPr>
          <w:p>
            <w:pPr>
              <w:pStyle w:val="8"/>
              <w:spacing w:line="360" w:lineRule="atLeast"/>
              <w:jc w:val="center"/>
              <w:rPr>
                <w:rFonts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设计创新</w:t>
            </w:r>
          </w:p>
        </w:tc>
        <w:tc>
          <w:tcPr>
            <w:tcW w:w="8317" w:type="dxa"/>
            <w:tcMar>
              <w:top w:w="0" w:type="dxa"/>
              <w:left w:w="113" w:type="dxa"/>
              <w:bottom w:w="0" w:type="dxa"/>
              <w:right w:w="113" w:type="dxa"/>
            </w:tcMar>
            <w:vAlign w:val="center"/>
          </w:tcPr>
          <w:p>
            <w:pPr>
              <w:kinsoku/>
              <w:wordWrap w:val="0"/>
              <w:topLinePunct/>
              <w:autoSpaceDE/>
              <w:autoSpaceDN/>
              <w:jc w:val="both"/>
              <w:rPr>
                <w:rFonts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教学方案的整体设计富有创新性，能体现高校教学理念和要求；教学方法选择适当，教学过程设计有突出的特色</w:t>
            </w:r>
          </w:p>
        </w:tc>
      </w:tr>
    </w:tbl>
    <w:p>
      <w:pPr>
        <w:numPr>
          <w:ilvl w:val="0"/>
          <w:numId w:val="1"/>
        </w:numPr>
        <w:spacing w:before="219" w:line="580" w:lineRule="exact"/>
        <w:ind w:left="48"/>
        <w:outlineLvl w:val="2"/>
        <w:rPr>
          <w:rFonts w:hint="default" w:ascii="黑体" w:hAnsi="黑体" w:eastAsia="黑体" w:cs="黑体"/>
          <w:b w:val="0"/>
          <w:bCs w:val="0"/>
          <w:spacing w:val="10"/>
          <w:sz w:val="28"/>
          <w:szCs w:val="28"/>
          <w:lang w:val="en-US" w:eastAsia="zh-CN"/>
        </w:rPr>
      </w:pPr>
      <w:r>
        <w:rPr>
          <w:rFonts w:hint="eastAsia" w:ascii="黑体" w:hAnsi="黑体" w:eastAsia="黑体" w:cs="黑体"/>
          <w:b w:val="0"/>
          <w:bCs w:val="0"/>
          <w:spacing w:val="10"/>
          <w:sz w:val="28"/>
          <w:szCs w:val="28"/>
          <w:lang w:val="en-US" w:eastAsia="zh-CN"/>
        </w:rPr>
        <w:t>课程思政教学设计评分标准（20分）</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033" w:type="dxa"/>
            <w:vAlign w:val="center"/>
          </w:tcPr>
          <w:p>
            <w:pPr>
              <w:jc w:val="center"/>
              <w:rPr>
                <w:rFonts w:hint="eastAsia" w:ascii="仿宋_GB2312" w:hAnsi="仿宋_GB2312" w:eastAsia="仿宋_GB2312" w:cs="仿宋_GB2312"/>
                <w:b/>
                <w:bCs/>
                <w:snapToGrid w:val="0"/>
                <w:color w:val="000000"/>
                <w:spacing w:val="-4"/>
                <w:sz w:val="24"/>
                <w:szCs w:val="24"/>
                <w:lang w:val="en-US" w:eastAsia="zh-CN" w:bidi="ar-SA"/>
              </w:rPr>
            </w:pPr>
            <w:r>
              <w:rPr>
                <w:rFonts w:hint="eastAsia" w:ascii="仿宋_GB2312" w:hAnsi="仿宋_GB2312" w:eastAsia="仿宋_GB2312" w:cs="仿宋_GB2312"/>
                <w:b/>
                <w:bCs/>
                <w:snapToGrid w:val="0"/>
                <w:color w:val="000000"/>
                <w:spacing w:val="-4"/>
                <w:sz w:val="24"/>
                <w:szCs w:val="24"/>
                <w:lang w:val="en-US" w:eastAsia="zh-CN" w:bidi="ar-SA"/>
              </w:rPr>
              <w:t>评价维度</w:t>
            </w:r>
          </w:p>
        </w:tc>
        <w:tc>
          <w:tcPr>
            <w:tcW w:w="6926" w:type="dxa"/>
            <w:vAlign w:val="center"/>
          </w:tcPr>
          <w:p>
            <w:pPr>
              <w:jc w:val="center"/>
              <w:rPr>
                <w:rFonts w:hint="eastAsia" w:eastAsia="宋体" w:cs="Times New Roman" w:asciiTheme="minorEastAsia" w:hAnsiTheme="minorEastAsia"/>
                <w:b/>
                <w:sz w:val="28"/>
                <w:szCs w:val="28"/>
                <w:lang w:eastAsia="zh-CN"/>
              </w:rPr>
            </w:pPr>
            <w:r>
              <w:rPr>
                <w:rFonts w:hint="eastAsia" w:ascii="仿宋_GB2312" w:hAnsi="仿宋_GB2312" w:eastAsia="仿宋_GB2312" w:cs="仿宋_GB2312"/>
                <w:b/>
                <w:bCs/>
                <w:snapToGrid w:val="0"/>
                <w:color w:val="000000"/>
                <w:spacing w:val="-4"/>
                <w:sz w:val="24"/>
                <w:szCs w:val="24"/>
                <w:lang w:val="en-US" w:eastAsia="zh-CN" w:bidi="ar-SA"/>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33" w:type="dxa"/>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r>
              <w:rPr>
                <w:rFonts w:hint="eastAsia" w:ascii="仿宋_GB2312" w:hAnsi="仿宋_GB2312" w:eastAsia="仿宋_GB2312" w:cs="仿宋_GB2312"/>
                <w:b/>
                <w:bCs/>
                <w:snapToGrid w:val="0"/>
                <w:color w:val="000000"/>
                <w:spacing w:val="-4"/>
                <w:sz w:val="24"/>
                <w:szCs w:val="24"/>
                <w:lang w:val="en-US" w:eastAsia="en-US" w:bidi="ar-SA"/>
              </w:rPr>
              <w:t>教学目标</w:t>
            </w: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符合教学大纲，内容充实，反映学科前沿。</w:t>
            </w:r>
          </w:p>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准确把握课程的重点和难点，针对性强。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33" w:type="dxa"/>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r>
              <w:rPr>
                <w:rFonts w:hint="eastAsia" w:ascii="仿宋_GB2312" w:hAnsi="仿宋_GB2312" w:eastAsia="仿宋_GB2312" w:cs="仿宋_GB2312"/>
                <w:b/>
                <w:bCs/>
                <w:snapToGrid w:val="0"/>
                <w:color w:val="000000"/>
                <w:spacing w:val="-4"/>
                <w:sz w:val="24"/>
                <w:szCs w:val="24"/>
                <w:lang w:val="en-US" w:eastAsia="en-US" w:bidi="ar-SA"/>
              </w:rPr>
              <w:t>教学内容</w:t>
            </w: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注重学术性，信息量大，渗透专业思想，重点突出，条理清楚，内容承前启后，循序渐进，为教学目标服务。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033" w:type="dxa"/>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r>
              <w:rPr>
                <w:rFonts w:hint="eastAsia" w:ascii="仿宋_GB2312" w:hAnsi="仿宋_GB2312" w:eastAsia="仿宋_GB2312" w:cs="仿宋_GB2312"/>
                <w:b/>
                <w:bCs/>
                <w:snapToGrid w:val="0"/>
                <w:color w:val="000000"/>
                <w:spacing w:val="-4"/>
                <w:sz w:val="24"/>
                <w:szCs w:val="24"/>
                <w:lang w:val="en-US" w:eastAsia="en-US" w:bidi="ar-SA"/>
              </w:rPr>
              <w:t>教学设计</w:t>
            </w: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教学进程安排合理，方法手段选择恰当，备课充分，精心设计教学各环节，有结合“课程思政”的教学目标、教学内容和教学方法设计。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033" w:type="dxa"/>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r>
              <w:rPr>
                <w:rFonts w:hint="eastAsia" w:ascii="仿宋_GB2312" w:hAnsi="仿宋_GB2312" w:eastAsia="仿宋_GB2312" w:cs="仿宋_GB2312"/>
                <w:b/>
                <w:bCs/>
                <w:snapToGrid w:val="0"/>
                <w:color w:val="000000"/>
                <w:spacing w:val="-4"/>
                <w:sz w:val="24"/>
                <w:szCs w:val="24"/>
                <w:lang w:val="en-US" w:eastAsia="en-US" w:bidi="ar-SA"/>
              </w:rPr>
              <w:t>课程讲解</w:t>
            </w: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对标教材，介绍本课程（本节课程）的基本内容以及对人才培养目标的支撑度。分析和把握难点、重点，坚持知识传授与价值引领相结合。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033" w:type="dxa"/>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r>
              <w:rPr>
                <w:rFonts w:hint="eastAsia" w:ascii="仿宋_GB2312" w:hAnsi="仿宋_GB2312" w:eastAsia="仿宋_GB2312" w:cs="仿宋_GB2312"/>
                <w:b/>
                <w:bCs/>
                <w:snapToGrid w:val="0"/>
                <w:color w:val="000000"/>
                <w:spacing w:val="-4"/>
                <w:sz w:val="24"/>
                <w:szCs w:val="24"/>
                <w:lang w:val="en-US" w:eastAsia="en-US" w:bidi="ar-SA"/>
              </w:rPr>
              <w:t>教学组织</w:t>
            </w: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教学过程安排合理，方法运用灵活、恰当，教学设计方案体现完整。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033" w:type="dxa"/>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r>
              <w:rPr>
                <w:rFonts w:hint="eastAsia" w:ascii="仿宋_GB2312" w:hAnsi="仿宋_GB2312" w:eastAsia="仿宋_GB2312" w:cs="仿宋_GB2312"/>
                <w:b/>
                <w:bCs/>
                <w:snapToGrid w:val="0"/>
                <w:color w:val="000000"/>
                <w:spacing w:val="-4"/>
                <w:sz w:val="24"/>
                <w:szCs w:val="24"/>
                <w:lang w:val="en-US" w:eastAsia="en-US" w:bidi="ar-SA"/>
              </w:rPr>
              <w:t>教学效果</w:t>
            </w: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教学内容和教学过程设计注重教学互动性，突出学生主体地位，能充分调动学生学习积极性和主动性。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033" w:type="dxa"/>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r>
              <w:rPr>
                <w:rFonts w:hint="eastAsia" w:ascii="仿宋_GB2312" w:hAnsi="仿宋_GB2312" w:eastAsia="仿宋_GB2312" w:cs="仿宋_GB2312"/>
                <w:b/>
                <w:bCs/>
                <w:snapToGrid w:val="0"/>
                <w:color w:val="000000"/>
                <w:spacing w:val="-4"/>
                <w:sz w:val="24"/>
                <w:szCs w:val="24"/>
                <w:lang w:val="en-US" w:eastAsia="en-US" w:bidi="ar-SA"/>
              </w:rPr>
              <w:t>教学手段</w:t>
            </w: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教学内容设计能够整合运用现代信息技术手段和各种媒体资源把思政教育有机融合到教学全过程。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033" w:type="dxa"/>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r>
              <w:rPr>
                <w:rFonts w:hint="eastAsia" w:ascii="仿宋_GB2312" w:hAnsi="仿宋_GB2312" w:eastAsia="仿宋_GB2312" w:cs="仿宋_GB2312"/>
                <w:b/>
                <w:bCs/>
                <w:snapToGrid w:val="0"/>
                <w:color w:val="000000"/>
                <w:spacing w:val="-4"/>
                <w:sz w:val="24"/>
                <w:szCs w:val="24"/>
                <w:lang w:val="en-US" w:eastAsia="en-US" w:bidi="ar-SA"/>
              </w:rPr>
              <w:t>语言教态</w:t>
            </w: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普通话讲课，语言清晰、流畅、准确、生动，语速节奏恰当。肢体语言运用合理、恰当， 教态仪表自然得体，精神饱满，亲和力强。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33" w:type="dxa"/>
            <w:vMerge w:val="restart"/>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r>
              <w:rPr>
                <w:rFonts w:hint="eastAsia" w:ascii="仿宋_GB2312" w:hAnsi="仿宋_GB2312" w:eastAsia="仿宋_GB2312" w:cs="仿宋_GB2312"/>
                <w:b/>
                <w:bCs/>
                <w:snapToGrid w:val="0"/>
                <w:color w:val="000000"/>
                <w:spacing w:val="-4"/>
                <w:sz w:val="24"/>
                <w:szCs w:val="24"/>
                <w:lang w:val="en-US" w:eastAsia="en-US" w:bidi="ar-SA"/>
              </w:rPr>
              <w:t>思政融入</w:t>
            </w: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深入挖掘课程的思政元素，取材于政治认同、家国情怀、文化素养、宪法法治意识、道德修养、职业素养等内容。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033" w:type="dxa"/>
            <w:vMerge w:val="continue"/>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能将思想政治教育和专业知识传授融合，课程纳入引导学生树立正确世界观、人生观、价值观等内容。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033" w:type="dxa"/>
            <w:vMerge w:val="restart"/>
            <w:vAlign w:val="center"/>
          </w:tcPr>
          <w:p>
            <w:pPr>
              <w:jc w:val="center"/>
              <w:rPr>
                <w:rFonts w:hint="eastAsia" w:ascii="仿宋_GB2312" w:hAnsi="仿宋_GB2312" w:eastAsia="仿宋_GB2312" w:cs="仿宋_GB2312"/>
                <w:b/>
                <w:bCs/>
                <w:snapToGrid w:val="0"/>
                <w:color w:val="000000"/>
                <w:spacing w:val="-4"/>
                <w:sz w:val="24"/>
                <w:szCs w:val="24"/>
                <w:lang w:val="en-US" w:eastAsia="en-US" w:bidi="ar-SA"/>
              </w:rPr>
            </w:pPr>
            <w:r>
              <w:rPr>
                <w:rFonts w:hint="eastAsia" w:ascii="仿宋_GB2312" w:hAnsi="仿宋_GB2312" w:eastAsia="仿宋_GB2312" w:cs="仿宋_GB2312"/>
                <w:b/>
                <w:bCs/>
                <w:snapToGrid w:val="0"/>
                <w:color w:val="000000"/>
                <w:spacing w:val="-4"/>
                <w:sz w:val="24"/>
                <w:szCs w:val="24"/>
                <w:lang w:val="en-US" w:eastAsia="en-US" w:bidi="ar-SA"/>
              </w:rPr>
              <w:t>教学效果</w:t>
            </w:r>
          </w:p>
        </w:tc>
        <w:tc>
          <w:tcPr>
            <w:tcW w:w="6926" w:type="dxa"/>
            <w:vAlign w:val="center"/>
          </w:tcPr>
          <w:p>
            <w:pPr>
              <w:kinsoku/>
              <w:wordWrap w:val="0"/>
              <w:topLinePunct/>
              <w:autoSpaceDE/>
              <w:autoSpaceDN/>
              <w:jc w:val="both"/>
              <w:rPr>
                <w:rFonts w:hint="eastAsia" w:ascii="仿宋_GB2312" w:hAnsi="仿宋_GB2312" w:eastAsia="仿宋_GB2312" w:cs="仿宋_GB2312"/>
                <w:color w:val="auto"/>
                <w:spacing w:val="0"/>
                <w:position w:val="0"/>
                <w:sz w:val="24"/>
                <w:szCs w:val="24"/>
                <w:lang w:eastAsia="zh-CN"/>
              </w:rPr>
            </w:pPr>
            <w:r>
              <w:rPr>
                <w:rFonts w:hint="eastAsia" w:ascii="仿宋_GB2312" w:hAnsi="仿宋_GB2312" w:eastAsia="仿宋_GB2312" w:cs="仿宋_GB2312"/>
                <w:color w:val="auto"/>
                <w:spacing w:val="0"/>
                <w:position w:val="0"/>
                <w:sz w:val="24"/>
                <w:szCs w:val="24"/>
                <w:lang w:eastAsia="zh-CN"/>
              </w:rPr>
              <w:t>注重思想政治教育和价值引领，有效达成教学目标，效果明显，具有较强的示范性。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033" w:type="dxa"/>
            <w:vMerge w:val="continue"/>
            <w:vAlign w:val="center"/>
          </w:tcPr>
          <w:p>
            <w:pPr>
              <w:jc w:val="left"/>
              <w:rPr>
                <w:rFonts w:cs="Times New Roman" w:asciiTheme="minorEastAsia" w:hAnsiTheme="minorEastAsia"/>
                <w:b/>
                <w:sz w:val="24"/>
                <w:szCs w:val="24"/>
              </w:rPr>
            </w:pPr>
          </w:p>
        </w:tc>
        <w:tc>
          <w:tcPr>
            <w:tcW w:w="6926" w:type="dxa"/>
            <w:vAlign w:val="center"/>
          </w:tcPr>
          <w:p>
            <w:pPr>
              <w:jc w:val="left"/>
              <w:rPr>
                <w:rFonts w:ascii="Times New Roman" w:hAnsi="Times New Roman" w:cs="Times New Roman"/>
                <w:sz w:val="24"/>
                <w:szCs w:val="24"/>
              </w:rPr>
            </w:pPr>
            <w:r>
              <w:rPr>
                <w:rFonts w:hint="eastAsia" w:ascii="仿宋_GB2312" w:hAnsi="仿宋_GB2312" w:eastAsia="仿宋_GB2312" w:cs="仿宋_GB2312"/>
                <w:color w:val="auto"/>
                <w:spacing w:val="0"/>
                <w:position w:val="0"/>
                <w:sz w:val="24"/>
                <w:szCs w:val="24"/>
                <w:lang w:eastAsia="zh-CN"/>
              </w:rPr>
              <w:t>思政案例符合学生的认知范畴和学生成长成才规律，能引起年轻人共鸣。</w:t>
            </w:r>
          </w:p>
        </w:tc>
      </w:tr>
    </w:tbl>
    <w:p>
      <w:pPr>
        <w:numPr>
          <w:ilvl w:val="0"/>
          <w:numId w:val="0"/>
        </w:numPr>
        <w:spacing w:before="219" w:line="580" w:lineRule="exact"/>
        <w:outlineLvl w:val="2"/>
        <w:rPr>
          <w:rFonts w:hint="default" w:ascii="黑体" w:hAnsi="黑体" w:eastAsia="黑体" w:cs="黑体"/>
          <w:b w:val="0"/>
          <w:bCs w:val="0"/>
          <w:spacing w:val="10"/>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E128B9-D43D-41C3-9CA4-285E614E75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86A6A29-F54D-4DA8-ABBE-5CB10759C6B1}"/>
  </w:font>
  <w:font w:name="仿宋">
    <w:panose1 w:val="02010609060101010101"/>
    <w:charset w:val="86"/>
    <w:family w:val="auto"/>
    <w:pitch w:val="default"/>
    <w:sig w:usb0="800002BF" w:usb1="38CF7CFA" w:usb2="00000016" w:usb3="00000000" w:csb0="00040001" w:csb1="00000000"/>
    <w:embedRegular r:id="rId3" w:fontKey="{4C9E3304-9D42-427D-94FF-84CCA5DFB0A9}"/>
  </w:font>
  <w:font w:name="仿宋_GB2312">
    <w:altName w:val="仿宋"/>
    <w:panose1 w:val="00000000000000000000"/>
    <w:charset w:val="86"/>
    <w:family w:val="auto"/>
    <w:pitch w:val="default"/>
    <w:sig w:usb0="00000000" w:usb1="00000000" w:usb2="00000000" w:usb3="00000000" w:csb0="00040000" w:csb1="00000000"/>
    <w:embedRegular r:id="rId4" w:fontKey="{F6C473DD-3991-4680-A0CC-97CE113F3E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hint="eastAsia"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jc w:val="right"/>
                    </w:pPr>
                    <w:r>
                      <w:rPr>
                        <w:rFonts w:hint="eastAsia"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eastAsia="宋体"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46014"/>
    <w:multiLevelType w:val="singleLevel"/>
    <w:tmpl w:val="1F04601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YWFhNDBiMDkxOTM2ODVkYTIyMTc0OGE0OWM2ODMifQ=="/>
  </w:docVars>
  <w:rsids>
    <w:rsidRoot w:val="00000000"/>
    <w:rsid w:val="136F66CF"/>
    <w:rsid w:val="15CE2625"/>
    <w:rsid w:val="2CA644F0"/>
    <w:rsid w:val="2FA0645B"/>
    <w:rsid w:val="30FE7E4C"/>
    <w:rsid w:val="314B20D2"/>
    <w:rsid w:val="31985EE9"/>
    <w:rsid w:val="368F550E"/>
    <w:rsid w:val="42351E4A"/>
    <w:rsid w:val="46827EEC"/>
    <w:rsid w:val="4CE76CFB"/>
    <w:rsid w:val="4DBC0B4E"/>
    <w:rsid w:val="52C61EA0"/>
    <w:rsid w:val="52D71012"/>
    <w:rsid w:val="52E87986"/>
    <w:rsid w:val="540A5DF5"/>
    <w:rsid w:val="57675660"/>
    <w:rsid w:val="5ACF32B3"/>
    <w:rsid w:val="5B0F16DC"/>
    <w:rsid w:val="5F1A5CA9"/>
    <w:rsid w:val="6A114471"/>
    <w:rsid w:val="6C4E2C59"/>
    <w:rsid w:val="7114409D"/>
    <w:rsid w:val="71B903B6"/>
    <w:rsid w:val="743B47E6"/>
    <w:rsid w:val="7AEF2DA3"/>
    <w:rsid w:val="7CB13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able Text"/>
    <w:basedOn w:val="1"/>
    <w:semiHidden/>
    <w:qFormat/>
    <w:uiPriority w:val="0"/>
    <w:rPr>
      <w:rFonts w:ascii="宋体" w:hAnsi="宋体" w:eastAsia="宋体" w:cs="宋体"/>
    </w:rPr>
  </w:style>
  <w:style w:type="table" w:customStyle="1" w:styleId="9">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2024-01-23T07:10:00Z</dcterms:created>
  <dc:creator>mm</dc:creator>
  <cp:lastModifiedBy>Administrator</cp:lastModifiedBy>
  <cp:lastPrinted>2024-01-24T01:06:00Z</cp:lastPrinted>
  <dcterms:modified xsi:type="dcterms:W3CDTF">2024-07-21T01:41:27Z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12AFD9BB500940F28C90886D81C11AF8_12</vt:lpwstr>
  </property>
</Properties>
</file>